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«История России»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52"/>
        </w:trPr>
        <w:tc>
          <w:tcPr>
            <w:tcW w:w="3970" w:type="dxa"/>
          </w:tcPr>
          <w:p/>
        </w:tc>
        <w:tc>
          <w:tcPr>
            <w:tcW w:w="4679" w:type="dxa"/>
          </w:tcPr>
          <w:p/>
        </w:tc>
        <w:tc>
          <w:tcPr>
            <w:tcW w:w="993" w:type="dxa"/>
          </w:tcPr>
          <w:p/>
        </w:tc>
      </w:tr>
      <w:tr>
        <w:trPr>
          <w:trHeight w:hRule="exact" w:val="804.678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1175.1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преобразований.</w:t>
            </w:r>
          </w:p>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1917 год: от Февраля к Октябрю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революционного кризиса 1917 г. Первая мировая война как фактор революции. Свержение самодержавия и попытки выхода из политического кризиса. Причины и формы взаимодействия Петросовета и Временного правительства. Позиция лидеров российских социалистических партий по отношению к Временному правительству. Приказ № 1 и его влияние на армию. Основные направления политики Временного правительства: международная политика, аграрная политика, введение гражданских свобод, восстановление Патриаршества, подготовка выборов в Учредительное собрание. «Война до победного конца» и отношение народных масс к этому лозунгу. Нарастание экономических трудностей, радикализация широких народных масс, рост влияния большевиков. Свержение Временного правительства, захват власти большевиками в октябре 1917 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Советский Союз в 1920-е — 1930-е гг.</w:t>
            </w:r>
          </w:p>
        </w:tc>
      </w:tr>
      <w:tr>
        <w:trPr>
          <w:trHeight w:hRule="exact" w:val="1403.2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Советская Россия на исходе Гражданской войны. Социально- политические и экономические результаты «Военного коммунизма».  Переход к Новой экономической политике.</w:t>
            </w:r>
          </w:p>
          <w:p>
            <w:pPr>
              <w:jc w:val="both"/>
              <w:spacing w:after="0" w:line="240" w:lineRule="auto"/>
              <w:rPr>
                <w:sz w:val="24"/>
                <w:szCs w:val="24"/>
              </w:rPr>
            </w:pPr>
            <w:r>
              <w:rPr>
                <w:rFonts w:ascii="Times New Roman" w:hAnsi="Times New Roman" w:cs="Times New Roman"/>
                <w:color w:val="#000000"/>
                <w:sz w:val="24"/>
                <w:szCs w:val="24"/>
              </w:rPr>
              <w:t> Роль В.И. Ленина в принятии плана НЭП.</w:t>
            </w:r>
          </w:p>
          <w:p>
            <w:pPr>
              <w:jc w:val="both"/>
              <w:spacing w:after="0" w:line="240" w:lineRule="auto"/>
              <w:rPr>
                <w:sz w:val="24"/>
                <w:szCs w:val="24"/>
              </w:rPr>
            </w:pPr>
            <w:r>
              <w:rPr>
                <w:rFonts w:ascii="Times New Roman" w:hAnsi="Times New Roman" w:cs="Times New Roman"/>
                <w:color w:val="#000000"/>
                <w:sz w:val="24"/>
                <w:szCs w:val="24"/>
              </w:rPr>
              <w:t> Важнейшие преобразования в рамках НЭПа. Переход от продразверстки к продналогу.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Финансовая реформа 1922–1924 гг. и общее оздоровление финансовой системы.</w:t>
            </w:r>
          </w:p>
          <w:p>
            <w:pPr>
              <w:jc w:val="both"/>
              <w:spacing w:after="0" w:line="240" w:lineRule="auto"/>
              <w:rPr>
                <w:sz w:val="24"/>
                <w:szCs w:val="24"/>
              </w:rPr>
            </w:pPr>
            <w:r>
              <w:rPr>
                <w:rFonts w:ascii="Times New Roman" w:hAnsi="Times New Roman" w:cs="Times New Roman"/>
                <w:color w:val="#000000"/>
                <w:sz w:val="24"/>
                <w:szCs w:val="24"/>
              </w:rPr>
              <w:t> Создание СССР. Предпосылки и причины объединения советских республик. Создание ЗСФСР. Спор по поводу «автономизации» и «федерализации». Роль В.И. Ленина в создании СССР по варианту «федерализации». Политическая борьба в СССР в 1920-е гг.</w:t>
            </w:r>
          </w:p>
          <w:p>
            <w:pPr>
              <w:jc w:val="both"/>
              <w:spacing w:after="0" w:line="240" w:lineRule="auto"/>
              <w:rPr>
                <w:sz w:val="24"/>
                <w:szCs w:val="24"/>
              </w:rPr>
            </w:pPr>
            <w:r>
              <w:rPr>
                <w:rFonts w:ascii="Times New Roman" w:hAnsi="Times New Roman" w:cs="Times New Roman"/>
                <w:color w:val="#000000"/>
                <w:sz w:val="24"/>
                <w:szCs w:val="24"/>
              </w:rPr>
              <w:t> Смерть В. И Ленина и борьба за «ленинское наследство». НЭПа. Итоги экономического развития СССР к середине 1920-х гг. НЭПа.</w:t>
            </w:r>
          </w:p>
          <w:p>
            <w:pPr>
              <w:jc w:val="both"/>
              <w:spacing w:after="0" w:line="240" w:lineRule="auto"/>
              <w:rPr>
                <w:sz w:val="24"/>
                <w:szCs w:val="24"/>
              </w:rPr>
            </w:pPr>
            <w:r>
              <w:rPr>
                <w:rFonts w:ascii="Times New Roman" w:hAnsi="Times New Roman" w:cs="Times New Roman"/>
                <w:color w:val="#000000"/>
                <w:sz w:val="24"/>
                <w:szCs w:val="24"/>
              </w:rPr>
              <w:t> Основные причины отказа от НЭПа в конце 1920-х гг.</w:t>
            </w:r>
          </w:p>
          <w:p>
            <w:pPr>
              <w:jc w:val="both"/>
              <w:spacing w:after="0" w:line="240" w:lineRule="auto"/>
              <w:rPr>
                <w:sz w:val="24"/>
                <w:szCs w:val="24"/>
              </w:rPr>
            </w:pPr>
            <w:r>
              <w:rPr>
                <w:rFonts w:ascii="Times New Roman" w:hAnsi="Times New Roman" w:cs="Times New Roman"/>
                <w:color w:val="#000000"/>
                <w:sz w:val="24"/>
                <w:szCs w:val="24"/>
              </w:rPr>
              <w:t> «Великий перелом». Переход к политике форсированной</w:t>
            </w:r>
          </w:p>
          <w:p>
            <w:pPr>
              <w:jc w:val="both"/>
              <w:spacing w:after="0" w:line="240" w:lineRule="auto"/>
              <w:rPr>
                <w:sz w:val="24"/>
                <w:szCs w:val="24"/>
              </w:rPr>
            </w:pPr>
            <w:r>
              <w:rPr>
                <w:rFonts w:ascii="Times New Roman" w:hAnsi="Times New Roman" w:cs="Times New Roman"/>
                <w:color w:val="#000000"/>
                <w:sz w:val="24"/>
                <w:szCs w:val="24"/>
              </w:rPr>
              <w:t> индустриализации.</w:t>
            </w:r>
          </w:p>
          <w:p>
            <w:pPr>
              <w:jc w:val="both"/>
              <w:spacing w:after="0" w:line="240" w:lineRule="auto"/>
              <w:rPr>
                <w:sz w:val="24"/>
                <w:szCs w:val="24"/>
              </w:rPr>
            </w:pPr>
            <w:r>
              <w:rPr>
                <w:rFonts w:ascii="Times New Roman" w:hAnsi="Times New Roman" w:cs="Times New Roman"/>
                <w:color w:val="#000000"/>
                <w:sz w:val="24"/>
                <w:szCs w:val="24"/>
              </w:rPr>
              <w:t> Формирование директивно-плановой экономики как механизма мобилизации материальных и трудовых ресурсов.</w:t>
            </w:r>
          </w:p>
          <w:p>
            <w:pPr>
              <w:jc w:val="both"/>
              <w:spacing w:after="0" w:line="240" w:lineRule="auto"/>
              <w:rPr>
                <w:sz w:val="24"/>
                <w:szCs w:val="24"/>
              </w:rPr>
            </w:pPr>
            <w:r>
              <w:rPr>
                <w:rFonts w:ascii="Times New Roman" w:hAnsi="Times New Roman" w:cs="Times New Roman"/>
                <w:color w:val="#000000"/>
                <w:sz w:val="24"/>
                <w:szCs w:val="24"/>
              </w:rPr>
              <w:t> Переход к политике массовой коллективизации. «Раскулачивание» и создание системы МТС. Массовый голод в СССР в 1932–1933 гг. «Трудодни» и роль личных подсобных хозяйств. Наиболее значимые стройки первых пятилеток. Возникновение в СССР новых отраслей промышленности.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Начальный период Великой Отечественной войны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Германский план «Барбаросса». Нападение нацистской Германии на СССР. Боевые действия летом 1941 — зимой 1941/42 гг. Причины отступления советских войск.</w:t>
            </w:r>
          </w:p>
          <w:p>
            <w:pPr>
              <w:jc w:val="both"/>
              <w:spacing w:after="0" w:line="240" w:lineRule="auto"/>
              <w:rPr>
                <w:sz w:val="24"/>
                <w:szCs w:val="24"/>
              </w:rPr>
            </w:pPr>
            <w:r>
              <w:rPr>
                <w:rFonts w:ascii="Times New Roman" w:hAnsi="Times New Roman" w:cs="Times New Roman"/>
                <w:color w:val="#000000"/>
                <w:sz w:val="24"/>
                <w:szCs w:val="24"/>
              </w:rPr>
              <w:t> Важнейшие сражения лета – осени 1941 г.</w:t>
            </w:r>
          </w:p>
          <w:p>
            <w:pPr>
              <w:jc w:val="both"/>
              <w:spacing w:after="0" w:line="240" w:lineRule="auto"/>
              <w:rPr>
                <w:sz w:val="24"/>
                <w:szCs w:val="24"/>
              </w:rPr>
            </w:pPr>
            <w:r>
              <w:rPr>
                <w:rFonts w:ascii="Times New Roman" w:hAnsi="Times New Roman" w:cs="Times New Roman"/>
                <w:color w:val="#000000"/>
                <w:sz w:val="24"/>
                <w:szCs w:val="24"/>
              </w:rPr>
              <w:t> Севастополя, Блокада Ленинграда.</w:t>
            </w:r>
          </w:p>
          <w:p>
            <w:pPr>
              <w:jc w:val="both"/>
              <w:spacing w:after="0" w:line="240" w:lineRule="auto"/>
              <w:rPr>
                <w:sz w:val="24"/>
                <w:szCs w:val="24"/>
              </w:rPr>
            </w:pPr>
            <w:r>
              <w:rPr>
                <w:rFonts w:ascii="Times New Roman" w:hAnsi="Times New Roman" w:cs="Times New Roman"/>
                <w:color w:val="#000000"/>
                <w:sz w:val="24"/>
                <w:szCs w:val="24"/>
              </w:rPr>
              <w:t> Победа под Москвой и ее историческое значение. Создание Государственного Комитета Обороны, перевод промышленности на военные рельсы, массовая эвакуация промышленных</w:t>
            </w:r>
          </w:p>
          <w:p>
            <w:pPr>
              <w:jc w:val="both"/>
              <w:spacing w:after="0" w:line="240" w:lineRule="auto"/>
              <w:rPr>
                <w:sz w:val="24"/>
                <w:szCs w:val="24"/>
              </w:rPr>
            </w:pPr>
            <w:r>
              <w:rPr>
                <w:rFonts w:ascii="Times New Roman" w:hAnsi="Times New Roman" w:cs="Times New Roman"/>
                <w:color w:val="#000000"/>
                <w:sz w:val="24"/>
                <w:szCs w:val="24"/>
              </w:rPr>
              <w:t> мощностей, перманентная мобилизация.</w:t>
            </w:r>
          </w:p>
          <w:p>
            <w:pPr>
              <w:jc w:val="both"/>
              <w:spacing w:after="0" w:line="240" w:lineRule="auto"/>
              <w:rPr>
                <w:sz w:val="24"/>
                <w:szCs w:val="24"/>
              </w:rPr>
            </w:pPr>
            <w:r>
              <w:rPr>
                <w:rFonts w:ascii="Times New Roman" w:hAnsi="Times New Roman" w:cs="Times New Roman"/>
                <w:color w:val="#000000"/>
                <w:sz w:val="24"/>
                <w:szCs w:val="24"/>
              </w:rPr>
              <w:t> Крах немецкой стратегии блицкрига.</w:t>
            </w:r>
          </w:p>
          <w:p>
            <w:pPr>
              <w:jc w:val="both"/>
              <w:spacing w:after="0" w:line="240" w:lineRule="auto"/>
              <w:rPr>
                <w:sz w:val="24"/>
                <w:szCs w:val="24"/>
              </w:rPr>
            </w:pPr>
            <w:r>
              <w:rPr>
                <w:rFonts w:ascii="Times New Roman" w:hAnsi="Times New Roman" w:cs="Times New Roman"/>
                <w:color w:val="#000000"/>
                <w:sz w:val="24"/>
                <w:szCs w:val="24"/>
              </w:rPr>
              <w:t> Попытки советских войск развернуть контрнаступление весной 1942 г. сразу на нескольких участках фронта. Причины неудач этих наступательных операций.</w:t>
            </w:r>
          </w:p>
          <w:p>
            <w:pPr>
              <w:jc w:val="both"/>
              <w:spacing w:after="0" w:line="240" w:lineRule="auto"/>
              <w:rPr>
                <w:sz w:val="24"/>
                <w:szCs w:val="24"/>
              </w:rPr>
            </w:pPr>
            <w:r>
              <w:rPr>
                <w:rFonts w:ascii="Times New Roman" w:hAnsi="Times New Roman" w:cs="Times New Roman"/>
                <w:color w:val="#000000"/>
                <w:sz w:val="24"/>
                <w:szCs w:val="24"/>
              </w:rPr>
              <w:t> Политика и практика геноцида советского народа нацистами и их пособниками. Генеральный план «Ост» и замыслы гитлеровского руководства относительно населения СССР.Массовые преступления гитлеровцев на временно оккупированной территории СССР. Бесчеловечное обращение гитлеровцев с советскими военнопленными.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18"/>
        </w:trPr>
        <w:tc>
          <w:tcPr>
            <w:tcW w:w="9640" w:type="dxa"/>
          </w:tcPr>
          <w:p/>
        </w:tc>
      </w:tr>
      <w:tr>
        <w:trPr>
          <w:trHeight w:hRule="exact" w:val="2028.7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Русь в конце X-начале XIII в.</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Территория и население государства Русь / Русская земля в конце X — XII в.</w:t>
            </w:r>
          </w:p>
          <w:p>
            <w:pPr>
              <w:jc w:val="left"/>
              <w:spacing w:after="0" w:line="240" w:lineRule="auto"/>
              <w:rPr>
                <w:sz w:val="24"/>
                <w:szCs w:val="24"/>
              </w:rPr>
            </w:pPr>
            <w:r>
              <w:rPr>
                <w:rFonts w:ascii="Times New Roman" w:hAnsi="Times New Roman" w:cs="Times New Roman"/>
                <w:color w:val="#000000"/>
                <w:sz w:val="24"/>
                <w:szCs w:val="24"/>
              </w:rPr>
              <w:t> Экономика древней Руси: земледелие, животноводство, ремесло, промыслы. Роль природно-климатического фактора в истории российского хозяйства.</w:t>
            </w:r>
          </w:p>
          <w:p>
            <w:pPr>
              <w:jc w:val="left"/>
              <w:spacing w:after="0" w:line="240" w:lineRule="auto"/>
              <w:rPr>
                <w:sz w:val="24"/>
                <w:szCs w:val="24"/>
              </w:rPr>
            </w:pPr>
            <w:r>
              <w:rPr>
                <w:rFonts w:ascii="Times New Roman" w:hAnsi="Times New Roman" w:cs="Times New Roman"/>
                <w:color w:val="#000000"/>
                <w:sz w:val="24"/>
                <w:szCs w:val="24"/>
              </w:rPr>
              <w:t> Общественный строй Руси: дискуссии в исторической науке. Княжеско-дружинная элита, духовенство. Древнерусское право. «Русская правда». Формирование земель — самостоятельных политических образований («княжеств»). Важнейшие земли и особенности их социально-экономического и политического развития: Киевская, Черниговская, Галицкая, Волынская, Суздальская, Новгород.</w:t>
            </w:r>
          </w:p>
          <w:p>
            <w:pPr>
              <w:jc w:val="left"/>
              <w:spacing w:after="0" w:line="240" w:lineRule="auto"/>
              <w:rPr>
                <w:sz w:val="24"/>
                <w:szCs w:val="24"/>
              </w:rPr>
            </w:pPr>
            <w:r>
              <w:rPr>
                <w:rFonts w:ascii="Times New Roman" w:hAnsi="Times New Roman" w:cs="Times New Roman"/>
                <w:color w:val="#000000"/>
                <w:sz w:val="24"/>
                <w:szCs w:val="24"/>
              </w:rPr>
              <w:t> Формирование элементов республиканской политической системы в Новгороде.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война в Московском княжестве второй четверти XV в. Великий Новгород и Псков в XV в.: политический строй, отношения с Москвой, Тевтонским орденом в Ливонии, Ганзой, Великим княжеством Литовским. Падение Константинополя и изменение церковно-политической роли Москвы в православном мире.</w:t>
            </w:r>
          </w:p>
          <w:p>
            <w:pPr>
              <w:jc w:val="left"/>
              <w:spacing w:after="0" w:line="240" w:lineRule="auto"/>
              <w:rPr>
                <w:sz w:val="24"/>
                <w:szCs w:val="24"/>
              </w:rPr>
            </w:pPr>
            <w:r>
              <w:rPr>
                <w:rFonts w:ascii="Times New Roman" w:hAnsi="Times New Roman" w:cs="Times New Roman"/>
                <w:color w:val="#000000"/>
                <w:sz w:val="24"/>
                <w:szCs w:val="24"/>
              </w:rPr>
              <w:t> Нарастание центробежных тенденций в Орде и ее распад на отдельные политические образования. Стояние на Угре.</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518"/>
        </w:trPr>
        <w:tc>
          <w:tcPr>
            <w:tcW w:w="9640" w:type="dxa"/>
          </w:tcPr>
          <w:p/>
        </w:tc>
      </w:tr>
      <w:tr>
        <w:trPr>
          <w:trHeight w:hRule="exact" w:val="4103.0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и военная реформа Петра I</w:t>
            </w:r>
          </w:p>
        </w:tc>
      </w:tr>
      <w:tr>
        <w:trPr>
          <w:trHeight w:hRule="exact" w:val="21.31495"/>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реформа Петра I. Строительство регулярной армии. Рекрутские наборы. Создание военного флота.</w:t>
            </w:r>
          </w:p>
          <w:p>
            <w:pPr>
              <w:jc w:val="left"/>
              <w:spacing w:after="0" w:line="240" w:lineRule="auto"/>
              <w:rPr>
                <w:sz w:val="24"/>
                <w:szCs w:val="24"/>
              </w:rPr>
            </w:pPr>
            <w:r>
              <w:rPr>
                <w:rFonts w:ascii="Times New Roman" w:hAnsi="Times New Roman" w:cs="Times New Roman"/>
                <w:color w:val="#000000"/>
                <w:sz w:val="24"/>
                <w:szCs w:val="24"/>
              </w:rPr>
              <w:t> Внешняя политика Петра I. Международное положение России к концу XVII в. и основные задачи ее внешней политики. «Вечный» мир с Польшей и русско-турецкая война 1686–1700 гг.</w:t>
            </w:r>
          </w:p>
          <w:p>
            <w:pPr>
              <w:jc w:val="left"/>
              <w:spacing w:after="0" w:line="240" w:lineRule="auto"/>
              <w:rPr>
                <w:sz w:val="24"/>
                <w:szCs w:val="24"/>
              </w:rPr>
            </w:pPr>
            <w:r>
              <w:rPr>
                <w:rFonts w:ascii="Times New Roman" w:hAnsi="Times New Roman" w:cs="Times New Roman"/>
                <w:color w:val="#000000"/>
                <w:sz w:val="24"/>
                <w:szCs w:val="24"/>
              </w:rPr>
              <w:t> Взятие Казы-Кермена и Азова.</w:t>
            </w:r>
          </w:p>
          <w:p>
            <w:pPr>
              <w:jc w:val="left"/>
              <w:spacing w:after="0" w:line="240" w:lineRule="auto"/>
              <w:rPr>
                <w:sz w:val="24"/>
                <w:szCs w:val="24"/>
              </w:rPr>
            </w:pPr>
            <w:r>
              <w:rPr>
                <w:rFonts w:ascii="Times New Roman" w:hAnsi="Times New Roman" w:cs="Times New Roman"/>
                <w:color w:val="#000000"/>
                <w:sz w:val="24"/>
                <w:szCs w:val="24"/>
              </w:rPr>
              <w:t> Изменение главного вектора внешней политики России на рубеже XVII и XVIII вв. Борьба за выход к Балтике — главная внешнеполитическая задача.</w:t>
            </w:r>
          </w:p>
          <w:p>
            <w:pPr>
              <w:jc w:val="left"/>
              <w:spacing w:after="0" w:line="240" w:lineRule="auto"/>
              <w:rPr>
                <w:sz w:val="24"/>
                <w:szCs w:val="24"/>
              </w:rPr>
            </w:pPr>
            <w:r>
              <w:rPr>
                <w:rFonts w:ascii="Times New Roman" w:hAnsi="Times New Roman" w:cs="Times New Roman"/>
                <w:color w:val="#000000"/>
                <w:sz w:val="24"/>
                <w:szCs w:val="24"/>
              </w:rPr>
              <w:t> Северная война 1700–1721 гг. Победы российской армии: взятие Нотебурга, Дерпта, Нарвы, Риги; битва при деревне Лесной. Полтавская битва и ее историческое значение. Победы флота у мыса Гангут и острова Гренгам. Завершение Северной войны. Ништадтский мир и его итоги.</w:t>
            </w:r>
          </w:p>
          <w:p>
            <w:pPr>
              <w:jc w:val="left"/>
              <w:spacing w:after="0" w:line="240" w:lineRule="auto"/>
              <w:rPr>
                <w:sz w:val="24"/>
                <w:szCs w:val="24"/>
              </w:rPr>
            </w:pPr>
            <w:r>
              <w:rPr>
                <w:rFonts w:ascii="Times New Roman" w:hAnsi="Times New Roman" w:cs="Times New Roman"/>
                <w:color w:val="#000000"/>
                <w:sz w:val="24"/>
                <w:szCs w:val="24"/>
              </w:rPr>
              <w:t> Восточная политика Петра I. Прутский поход 1711 г. Каспийский поход 1722–1723 гг. Поиски путей в Индию.</w:t>
            </w:r>
          </w:p>
          <w:p>
            <w:pPr>
              <w:jc w:val="left"/>
              <w:spacing w:after="0" w:line="240" w:lineRule="auto"/>
              <w:rPr>
                <w:sz w:val="24"/>
                <w:szCs w:val="24"/>
              </w:rPr>
            </w:pPr>
            <w:r>
              <w:rPr>
                <w:rFonts w:ascii="Times New Roman" w:hAnsi="Times New Roman" w:cs="Times New Roman"/>
                <w:color w:val="#000000"/>
                <w:sz w:val="24"/>
                <w:szCs w:val="24"/>
              </w:rPr>
              <w:t> Взаимоотношения с Китаем (Нерчинский договор 1689 г., договор о торговых контактах через Кяхту).</w:t>
            </w:r>
          </w:p>
          <w:p>
            <w:pPr>
              <w:jc w:val="left"/>
              <w:spacing w:after="0" w:line="240" w:lineRule="auto"/>
              <w:rPr>
                <w:sz w:val="24"/>
                <w:szCs w:val="24"/>
              </w:rPr>
            </w:pPr>
            <w:r>
              <w:rPr>
                <w:rFonts w:ascii="Times New Roman" w:hAnsi="Times New Roman" w:cs="Times New Roman"/>
                <w:color w:val="#000000"/>
                <w:sz w:val="24"/>
                <w:szCs w:val="24"/>
              </w:rPr>
              <w:t> Реформы в дипломатической сфере.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и мир в XVIII в.</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XVIII век — век Просвещения. Понятие «Просвещение». «Общественный договор». Культ Разума. Идея прогресса.</w:t>
            </w:r>
          </w:p>
          <w:p>
            <w:pPr>
              <w:jc w:val="left"/>
              <w:spacing w:after="0" w:line="240" w:lineRule="auto"/>
              <w:rPr>
                <w:sz w:val="24"/>
                <w:szCs w:val="24"/>
              </w:rPr>
            </w:pPr>
            <w:r>
              <w:rPr>
                <w:rFonts w:ascii="Times New Roman" w:hAnsi="Times New Roman" w:cs="Times New Roman"/>
                <w:color w:val="#000000"/>
                <w:sz w:val="24"/>
                <w:szCs w:val="24"/>
              </w:rPr>
              <w:t> Идеи правового государства.  Просвещенный абсолютизм.</w:t>
            </w:r>
          </w:p>
          <w:p>
            <w:pPr>
              <w:jc w:val="left"/>
              <w:spacing w:after="0" w:line="240" w:lineRule="auto"/>
              <w:rPr>
                <w:sz w:val="24"/>
                <w:szCs w:val="24"/>
              </w:rPr>
            </w:pPr>
            <w:r>
              <w:rPr>
                <w:rFonts w:ascii="Times New Roman" w:hAnsi="Times New Roman" w:cs="Times New Roman"/>
                <w:color w:val="#000000"/>
                <w:sz w:val="24"/>
                <w:szCs w:val="24"/>
              </w:rPr>
              <w:t> Модернизация как переход от традиционного к индустриальному обществу. Технический прогресс и промышленный переворот.</w:t>
            </w:r>
          </w:p>
          <w:p>
            <w:pPr>
              <w:jc w:val="left"/>
              <w:spacing w:after="0" w:line="240" w:lineRule="auto"/>
              <w:rPr>
                <w:sz w:val="24"/>
                <w:szCs w:val="24"/>
              </w:rPr>
            </w:pPr>
            <w:r>
              <w:rPr>
                <w:rFonts w:ascii="Times New Roman" w:hAnsi="Times New Roman" w:cs="Times New Roman"/>
                <w:color w:val="#000000"/>
                <w:sz w:val="24"/>
                <w:szCs w:val="24"/>
              </w:rPr>
              <w:t> Запад и Восток в XVIII в.: многообразие цивилизаций. Россия — «мост» между Западом и Востоком.</w:t>
            </w:r>
          </w:p>
          <w:p>
            <w:pPr>
              <w:jc w:val="left"/>
              <w:spacing w:after="0" w:line="240" w:lineRule="auto"/>
              <w:rPr>
                <w:sz w:val="24"/>
                <w:szCs w:val="24"/>
              </w:rPr>
            </w:pPr>
            <w:r>
              <w:rPr>
                <w:rFonts w:ascii="Times New Roman" w:hAnsi="Times New Roman" w:cs="Times New Roman"/>
                <w:color w:val="#000000"/>
                <w:sz w:val="24"/>
                <w:szCs w:val="24"/>
              </w:rPr>
              <w:t> Рост экономического и военно-морского могущества Великобритании. Англо- французское противостояние. Семилетняя война и «дипломатическая революция» середины XVIII в.</w:t>
            </w:r>
          </w:p>
          <w:p>
            <w:pPr>
              <w:jc w:val="left"/>
              <w:spacing w:after="0" w:line="240" w:lineRule="auto"/>
              <w:rPr>
                <w:sz w:val="24"/>
                <w:szCs w:val="24"/>
              </w:rPr>
            </w:pPr>
            <w:r>
              <w:rPr>
                <w:rFonts w:ascii="Times New Roman" w:hAnsi="Times New Roman" w:cs="Times New Roman"/>
                <w:color w:val="#000000"/>
                <w:sz w:val="24"/>
                <w:szCs w:val="24"/>
              </w:rPr>
              <w:t> Колониальный период в истории Северной Америки. Образование Соединенных Штатов Америки. Декларация независимости США.</w:t>
            </w:r>
          </w:p>
          <w:p>
            <w:pPr>
              <w:jc w:val="left"/>
              <w:spacing w:after="0" w:line="240" w:lineRule="auto"/>
              <w:rPr>
                <w:sz w:val="24"/>
                <w:szCs w:val="24"/>
              </w:rPr>
            </w:pPr>
            <w:r>
              <w:rPr>
                <w:rFonts w:ascii="Times New Roman" w:hAnsi="Times New Roman" w:cs="Times New Roman"/>
                <w:color w:val="#000000"/>
                <w:sz w:val="24"/>
                <w:szCs w:val="24"/>
              </w:rPr>
              <w:t> Французская революция конца XVIII в. Якобинская диктатура, ее падение. Термидор. Приход к власти Наполеона Бонапарта. Борьба европейских держав против Французской революции и агрессивных устремлений постреволюционных властей Франции.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18"/>
        </w:trPr>
        <w:tc>
          <w:tcPr>
            <w:tcW w:w="9640" w:type="dxa"/>
          </w:tcPr>
          <w:p/>
        </w:tc>
      </w:tr>
      <w:tr>
        <w:trPr>
          <w:trHeight w:hRule="exact" w:val="3950.1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495"/>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5994.2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 окраин).</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r>
        <w:trPr>
          <w:trHeight w:hRule="exact" w:val="21.31518"/>
        </w:trPr>
        <w:tc>
          <w:tcPr>
            <w:tcW w:w="9640" w:type="dxa"/>
          </w:tcPr>
          <w:p/>
        </w:tc>
      </w:tr>
      <w:tr>
        <w:trPr>
          <w:trHeight w:hRule="exact" w:val="975.05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политика и ее реализация в 1920-е — 1930-е гг.</w:t>
            </w:r>
          </w:p>
        </w:tc>
      </w:tr>
      <w:tr>
        <w:trPr>
          <w:trHeight w:hRule="exact" w:val="21.31473"/>
        </w:trPr>
        <w:tc>
          <w:tcPr>
            <w:tcW w:w="9640" w:type="dxa"/>
          </w:tcPr>
          <w:p/>
        </w:tc>
      </w:tr>
      <w:tr>
        <w:trPr>
          <w:trHeight w:hRule="exact" w:val="4371.3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гг. Борьба с беспризорностью.</w:t>
            </w:r>
          </w:p>
          <w:p>
            <w:pPr>
              <w:jc w:val="left"/>
              <w:spacing w:after="0" w:line="240" w:lineRule="auto"/>
              <w:rPr>
                <w:sz w:val="24"/>
                <w:szCs w:val="24"/>
              </w:rPr>
            </w:pPr>
            <w:r>
              <w:rPr>
                <w:rFonts w:ascii="Times New Roman" w:hAnsi="Times New Roman" w:cs="Times New Roman"/>
                <w:color w:val="#000000"/>
                <w:sz w:val="24"/>
                <w:szCs w:val="24"/>
              </w:rPr>
              <w:t> Становление государственной системы здравоохранения. Социальные «лифты».</w:t>
            </w:r>
          </w:p>
          <w:p>
            <w:pPr>
              <w:jc w:val="left"/>
              <w:spacing w:after="0" w:line="240" w:lineRule="auto"/>
              <w:rPr>
                <w:sz w:val="24"/>
                <w:szCs w:val="24"/>
              </w:rPr>
            </w:pPr>
            <w:r>
              <w:rPr>
                <w:rFonts w:ascii="Times New Roman" w:hAnsi="Times New Roman" w:cs="Times New Roman"/>
                <w:color w:val="#000000"/>
                <w:sz w:val="24"/>
                <w:szCs w:val="24"/>
              </w:rPr>
              <w:t> Феномен «лишенцев».</w:t>
            </w:r>
          </w:p>
          <w:p>
            <w:pPr>
              <w:jc w:val="left"/>
              <w:spacing w:after="0" w:line="240" w:lineRule="auto"/>
              <w:rPr>
                <w:sz w:val="24"/>
                <w:szCs w:val="24"/>
              </w:rPr>
            </w:pPr>
            <w:r>
              <w:rPr>
                <w:rFonts w:ascii="Times New Roman" w:hAnsi="Times New Roman" w:cs="Times New Roman"/>
                <w:color w:val="#000000"/>
                <w:sz w:val="24"/>
                <w:szCs w:val="24"/>
              </w:rPr>
              <w:t> Политика советского руководства по отношению к церкви.</w:t>
            </w:r>
          </w:p>
          <w:p>
            <w:pPr>
              <w:jc w:val="left"/>
              <w:spacing w:after="0" w:line="240" w:lineRule="auto"/>
              <w:rPr>
                <w:sz w:val="24"/>
                <w:szCs w:val="24"/>
              </w:rPr>
            </w:pPr>
            <w:r>
              <w:rPr>
                <w:rFonts w:ascii="Times New Roman" w:hAnsi="Times New Roman" w:cs="Times New Roman"/>
                <w:color w:val="#000000"/>
                <w:sz w:val="24"/>
                <w:szCs w:val="24"/>
              </w:rPr>
              <w:t> Культурное развитие в 1920-е гг. Политика ликвидации безграмотности. НЭП — как период массовых творческих экспериментов и относительно мирного сосуществования старых и новых тенденций. Советский социум в 1930-е гг. Конституция 1936 г. и ее практическое значение. Социальное положение советской номенклатуры. «Ударники» и «стахановцы». Урбанизация — плюсы или минусы этого процесса.</w:t>
            </w:r>
          </w:p>
          <w:p>
            <w:pPr>
              <w:jc w:val="left"/>
              <w:spacing w:after="0" w:line="240" w:lineRule="auto"/>
              <w:rPr>
                <w:sz w:val="24"/>
                <w:szCs w:val="24"/>
              </w:rPr>
            </w:pPr>
            <w:r>
              <w:rPr>
                <w:rFonts w:ascii="Times New Roman" w:hAnsi="Times New Roman" w:cs="Times New Roman"/>
                <w:color w:val="#000000"/>
                <w:sz w:val="24"/>
                <w:szCs w:val="24"/>
              </w:rPr>
              <w:t> Возвращение к традиционным семейным ценностям.</w:t>
            </w:r>
          </w:p>
          <w:p>
            <w:pPr>
              <w:jc w:val="left"/>
              <w:spacing w:after="0" w:line="240" w:lineRule="auto"/>
              <w:rPr>
                <w:sz w:val="24"/>
                <w:szCs w:val="24"/>
              </w:rPr>
            </w:pPr>
            <w:r>
              <w:rPr>
                <w:rFonts w:ascii="Times New Roman" w:hAnsi="Times New Roman" w:cs="Times New Roman"/>
                <w:color w:val="#000000"/>
                <w:sz w:val="24"/>
                <w:szCs w:val="24"/>
              </w:rPr>
              <w:t> Массовый энтузиазм — причины и результаты.</w:t>
            </w:r>
          </w:p>
          <w:p>
            <w:pPr>
              <w:jc w:val="left"/>
              <w:spacing w:after="0" w:line="240" w:lineRule="auto"/>
              <w:rPr>
                <w:sz w:val="24"/>
                <w:szCs w:val="24"/>
              </w:rPr>
            </w:pPr>
            <w:r>
              <w:rPr>
                <w:rFonts w:ascii="Times New Roman" w:hAnsi="Times New Roman" w:cs="Times New Roman"/>
                <w:color w:val="#000000"/>
                <w:sz w:val="24"/>
                <w:szCs w:val="24"/>
              </w:rPr>
              <w:t> Культурная революция. Просвещение и образование в СССР в 1930-х гг.</w:t>
            </w:r>
          </w:p>
          <w:p>
            <w:pPr>
              <w:jc w:val="left"/>
              <w:spacing w:after="0" w:line="240" w:lineRule="auto"/>
              <w:rPr>
                <w:sz w:val="24"/>
                <w:szCs w:val="24"/>
              </w:rPr>
            </w:pPr>
            <w:r>
              <w:rPr>
                <w:rFonts w:ascii="Times New Roman" w:hAnsi="Times New Roman" w:cs="Times New Roman"/>
                <w:color w:val="#000000"/>
                <w:sz w:val="24"/>
                <w:szCs w:val="24"/>
              </w:rPr>
              <w:t> Формирование интеллигенции нового</w:t>
            </w:r>
          </w:p>
          <w:p>
            <w:pPr>
              <w:jc w:val="left"/>
              <w:spacing w:after="0" w:line="240" w:lineRule="auto"/>
              <w:rPr>
                <w:sz w:val="24"/>
                <w:szCs w:val="24"/>
              </w:rPr>
            </w:pPr>
            <w:r>
              <w:rPr>
                <w:rFonts w:ascii="Times New Roman" w:hAnsi="Times New Roman" w:cs="Times New Roman"/>
                <w:color w:val="#000000"/>
                <w:sz w:val="24"/>
                <w:szCs w:val="24"/>
              </w:rPr>
              <w:t> поколения.</w:t>
            </w:r>
          </w:p>
          <w:p>
            <w:pPr>
              <w:jc w:val="left"/>
              <w:spacing w:after="0" w:line="240" w:lineRule="auto"/>
              <w:rPr>
                <w:sz w:val="24"/>
                <w:szCs w:val="24"/>
              </w:rPr>
            </w:pPr>
            <w:r>
              <w:rPr>
                <w:rFonts w:ascii="Times New Roman" w:hAnsi="Times New Roman" w:cs="Times New Roman"/>
                <w:color w:val="#000000"/>
                <w:sz w:val="24"/>
                <w:szCs w:val="24"/>
              </w:rPr>
              <w:t> Государственный контроль над сферой искусства.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Народная война в тылу противника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партизанского движения в тылу противника. Попытки гитлеровцев наладить планомерную эксплуатацию оккупированных территорий. «Остарбайтеры». Расширение партизанского движения, создание Центрального штаба партизанского движения (ЦШПД). Партизанские рейды, партизанские края. Новый этап партизанского движения. Операция «Концерт». Партизанские рейды за пределы СССР. Сотрудничество с гитлеровцами различных коллаборантов. Власов и власовцы. Национальные формирования. ОУН-УПА. Отряды СС из народов прибалтики.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Внешнеполитические аспекты Великой Отечественной войны</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и союзники. Формирование Антигитлеровской коалиции. Проблема «второго фронта». Ленд-лиз и его значение. «Армия Андерса». Иностранные воинские формирования в составе советских войск. Взаимодействие с болгарскими, румынскими и югославскими войсками в борьбе с гитлеровцами. Варшавское восстание. Действия «Армии Крайовой»</w:t>
            </w:r>
          </w:p>
          <w:p>
            <w:pPr>
              <w:jc w:val="left"/>
              <w:spacing w:after="0" w:line="240" w:lineRule="auto"/>
              <w:rPr>
                <w:sz w:val="24"/>
                <w:szCs w:val="24"/>
              </w:rPr>
            </w:pPr>
            <w:r>
              <w:rPr>
                <w:rFonts w:ascii="Times New Roman" w:hAnsi="Times New Roman" w:cs="Times New Roman"/>
                <w:color w:val="#000000"/>
                <w:sz w:val="24"/>
                <w:szCs w:val="24"/>
              </w:rPr>
              <w:t> и «Армии Людовой». Проблема открытия «второго фронта» в Европе. Операция «Оверлорд»</w:t>
            </w:r>
          </w:p>
          <w:p>
            <w:pPr>
              <w:jc w:val="left"/>
              <w:spacing w:after="0" w:line="240" w:lineRule="auto"/>
              <w:rPr>
                <w:sz w:val="24"/>
                <w:szCs w:val="24"/>
              </w:rPr>
            </w:pPr>
            <w:r>
              <w:rPr>
                <w:rFonts w:ascii="Times New Roman" w:hAnsi="Times New Roman" w:cs="Times New Roman"/>
                <w:color w:val="#000000"/>
                <w:sz w:val="24"/>
                <w:szCs w:val="24"/>
              </w:rPr>
              <w:t> и наступление войск западных союзников в 1944–1945 гг. Формирование основ ялтинского послевоенного мироустройства.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518"/>
        </w:trPr>
        <w:tc>
          <w:tcPr>
            <w:tcW w:w="9640" w:type="dxa"/>
          </w:tcPr>
          <w:p/>
        </w:tc>
      </w:tr>
      <w:tr>
        <w:trPr>
          <w:trHeight w:hRule="exact" w:val="1668.8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конца XX в.</w:t>
            </w:r>
          </w:p>
        </w:tc>
      </w:tr>
      <w:tr>
        <w:trPr>
          <w:trHeight w:hRule="exact" w:val="21.31518"/>
        </w:trPr>
        <w:tc>
          <w:tcPr>
            <w:tcW w:w="9640" w:type="dxa"/>
          </w:tcPr>
          <w:p/>
        </w:tc>
      </w:tr>
      <w:tr>
        <w:trPr>
          <w:trHeight w:hRule="exact" w:val="3409.3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Активизация культурных контактов с Западом, засилье иностранной литературы и кинопродукции. Проникновение в Россию зарубежных благотворительных фондов, оказывавших финансовую помощь в обмен на идеологическую лояльность. Деление сферы культуры на два сегмента — «государственно- муниципальный» и «коммерческий». Бурный рост шоу-бизнеса и индустрии развлечений. Коммерциализация кино и телевидения. Сокращение количества производства отечественных кинолент. Возрастание роли телевидения. Появление новых форматов телепередач: ток-шоу, реалити-шоу, ситкомов.</w:t>
            </w:r>
          </w:p>
          <w:p>
            <w:pPr>
              <w:jc w:val="left"/>
              <w:spacing w:after="0" w:line="240" w:lineRule="auto"/>
              <w:rPr>
                <w:sz w:val="24"/>
                <w:szCs w:val="24"/>
              </w:rPr>
            </w:pPr>
            <w:r>
              <w:rPr>
                <w:rFonts w:ascii="Times New Roman" w:hAnsi="Times New Roman" w:cs="Times New Roman"/>
                <w:color w:val="#000000"/>
                <w:sz w:val="24"/>
                <w:szCs w:val="24"/>
              </w:rPr>
              <w:t> Преобладание «легких жанров»: детектив, фантастика и фентези, «женские романы» в литературе, эстрада, «русский шансон» и поп-музыка в музыкальной сфере. Театр постсоветской России — от эйфории к осознанию коммерческой зависимости.</w:t>
            </w:r>
          </w:p>
          <w:p>
            <w:pPr>
              <w:jc w:val="left"/>
              <w:spacing w:after="0" w:line="240" w:lineRule="auto"/>
              <w:rPr>
                <w:sz w:val="24"/>
                <w:szCs w:val="24"/>
              </w:rPr>
            </w:pPr>
            <w:r>
              <w:rPr>
                <w:rFonts w:ascii="Times New Roman" w:hAnsi="Times New Roman" w:cs="Times New Roman"/>
                <w:color w:val="#000000"/>
                <w:sz w:val="24"/>
                <w:szCs w:val="24"/>
              </w:rPr>
              <w:t> Создание телеканала «Культура» как попытка противостоять натиску массовой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Феномен «актуального искусства». Соцарт как новый стиль в живописи и театре.</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63"/>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26.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2024-2025_ФГОС3++2024_Бак-ОЗФО-ТД(ОиУЗД)(24)_plx_История России</dc:title>
  <dc:creator>FastReport.NET</dc:creator>
</cp:coreProperties>
</file>